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Pressemeddelse - Julekalender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Wolt spreder juleglæde i København og udfordrer Just Eat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Julemænd på gaderne, nye julespecials hver dag, små overraskelser og glæde til folket.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Wolt har taget København med storm og er på kun 8 måneder blevet en seriøs konkurrent til de etablerede take-away platforme i København, såsom Just Eat, Roomservice og Take-out. Den prisvindende app, med fokus på premium takeaway; leveret, to-go eller til bordet på restauranten, er den første af sin slags i Danmark.</w:t>
        <w:br w:type="textWrapping"/>
        <w:t xml:space="preserve">De vil give københavnerne mere tid i en stund, der er præget af trængsel og alarm.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453063" cy="487029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4326" l="12660" r="24358" t="11298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4870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(Wolt-julemand på Frederiksberg Allé, Foto: Andreas Nielsen)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Mere glæde til folket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Wolt slutter året af med en større juleindsats. De mener, at københavnerne stresser for meget i december måned, og at det skal være en tid, hvor vi kommer hinanden ved og i ro og mag kan sætte et ordentligt punktum på året både arbejdsmæssigt og med familie og venner.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“Vi sætter et stort fokus på og en ære i at gøre en forskel i de byer, vi opererer i. Da det er vores første jul i Danmark, har vi tænkt os at gøre en ekstra stor indsats for at sprede en masse juleglæde, og så vil vi selvfølgelig gerne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sige tak for et godt første år i København!”</w:t>
      </w:r>
      <w:r w:rsidDel="00000000" w:rsidR="00000000" w:rsidRPr="00000000">
        <w:rPr>
          <w:b w:val="1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 samarbejde med deres restaurantpartnere, har Wolt sammensat et udvalg af julespecials hver dag. “Så kan du bruge din tid på andet end at stå i køkkenet - og hvis du er heldig, er det selveste julemanden, der leverer maden. Vi vil være med til at skabe lidt ekstra sjov. Når vi nu bevæger os så meget rundt i gadebilledet, hvorfor så ikke gøre det som julemænd?”, lyder det fra Patrick Dümer, Direktør i Wolt Danmark.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Wolt fokuserer på den gode kvalitet og brugeroplevelse og samarbejder i skrivende stund med 84 restauranter i København. Man kan blandt andet bestille mad fra Kiin Kiin, Cock’s &amp; Cows, Meyer’s Deli, California Kitchen, Yoburger og mange andre velkendte steder.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Om Wolt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Wolt blev lanceret i Helsinki, Finland, i 2015 og har sidenhen ekspanderet til 15 byer på tværs af Finland, Sverige, Estland, Letland, Litauen og Danmark, med flere end </w:t>
      </w:r>
      <w:r w:rsidDel="00000000" w:rsidR="00000000" w:rsidRPr="00000000">
        <w:rPr>
          <w:rtl w:val="0"/>
        </w:rPr>
        <w:t xml:space="preserve">450.000 brugere, 1.000 restaurant partnere og 1.500 kurérpartnere.</w:t>
      </w:r>
      <w:r w:rsidDel="00000000" w:rsidR="00000000" w:rsidRPr="00000000">
        <w:rPr>
          <w:rtl w:val="0"/>
        </w:rPr>
        <w:t xml:space="preserve"> Wolt kom til København i februar 2017 og er sidenhen vokset hurtigt. Læs mere om Wolt på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wolt.com</w:t>
        </w:r>
      </w:hyperlink>
      <w:r w:rsidDel="00000000" w:rsidR="00000000" w:rsidRPr="00000000">
        <w:rPr>
          <w:rtl w:val="0"/>
        </w:rPr>
        <w:t xml:space="preserve">, eller download app’en 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App Store</w:t>
        </w:r>
      </w:hyperlink>
      <w:r w:rsidDel="00000000" w:rsidR="00000000" w:rsidRPr="00000000">
        <w:rPr>
          <w:rtl w:val="0"/>
        </w:rPr>
        <w:t xml:space="preserve"> eller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Til redaktøren: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Links til billeder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</w:t>
        </w:r>
      </w:hyperlink>
      <w:r w:rsidDel="00000000" w:rsidR="00000000" w:rsidRPr="00000000">
        <w:rPr>
          <w:rtl w:val="0"/>
        </w:rPr>
        <w:t xml:space="preserve"> - Folder “Wolt Julekalender” - Der er flere forskellige julebilleder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Link til Wolt: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www.wolt.dk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Download link: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http://get.wolt.com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Kontakt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Patrick Dümer - General Manager Wolt Danmark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+45 30 95 44 36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pd@wolt.com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SÅDAN VIRKER WOLT!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Hent appen gratis til iOS eller Android.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Vælg dit favorit spisested eller gå på opdagelse.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Sammensæt din bestilling og vælg, om du vil have levering, to go, eller om du vil spise på restauranten.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Du får opdateringer minut for minut, om hvor langt din bestilling er. Bestiller du levering, kan du endda følge kuréren i app’en.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Betaling sker automatisk med kreditkort i baggrunden, og kvitteringen sendes direkte i app’en og til din e-mail.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get.wolt.com" TargetMode="External"/><Relationship Id="rId10" Type="http://schemas.openxmlformats.org/officeDocument/2006/relationships/hyperlink" Target="http://www.wolt.dk" TargetMode="External"/><Relationship Id="rId9" Type="http://schemas.openxmlformats.org/officeDocument/2006/relationships/hyperlink" Target="https://drive.google.com/open?id=0Bz0AACK1maLlNC1GMWloNGd3dkk" TargetMode="External"/><Relationship Id="rId5" Type="http://schemas.openxmlformats.org/officeDocument/2006/relationships/image" Target="media/image2.jpg"/><Relationship Id="rId6" Type="http://schemas.openxmlformats.org/officeDocument/2006/relationships/hyperlink" Target="https://wolt.com/" TargetMode="External"/><Relationship Id="rId7" Type="http://schemas.openxmlformats.org/officeDocument/2006/relationships/hyperlink" Target="https://itunes.apple.com/app/wolt/id943905271?mt=8" TargetMode="External"/><Relationship Id="rId8" Type="http://schemas.openxmlformats.org/officeDocument/2006/relationships/hyperlink" Target="https://play.google.com/store/apps/details?id=com.wolt.android&amp;hl=en" TargetMode="External"/></Relationships>
</file>